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D" w:rsidRPr="00453721" w:rsidRDefault="008C1ABD" w:rsidP="008C1ABD">
      <w:pPr>
        <w:spacing w:before="19"/>
        <w:ind w:left="5685" w:right="233"/>
        <w:rPr>
          <w:b/>
          <w:sz w:val="40"/>
          <w:szCs w:val="40"/>
        </w:rPr>
      </w:pPr>
      <w:r w:rsidRPr="00453721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4ECB54A" wp14:editId="37F3D95C">
            <wp:simplePos x="0" y="0"/>
            <wp:positionH relativeFrom="page">
              <wp:posOffset>342900</wp:posOffset>
            </wp:positionH>
            <wp:positionV relativeFrom="paragraph">
              <wp:posOffset>-355307</wp:posOffset>
            </wp:positionV>
            <wp:extent cx="2905125" cy="1047750"/>
            <wp:effectExtent l="0" t="0" r="9525" b="0"/>
            <wp:wrapNone/>
            <wp:docPr id="12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21">
        <w:rPr>
          <w:b/>
          <w:sz w:val="40"/>
          <w:szCs w:val="40"/>
        </w:rPr>
        <w:t>Telehealth Staff Connect</w:t>
      </w:r>
    </w:p>
    <w:p w:rsidR="008C1ABD" w:rsidRDefault="008C1ABD" w:rsidP="008C1ABD">
      <w:pPr>
        <w:spacing w:before="19"/>
        <w:ind w:left="5685" w:right="23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1"/>
          <w:sz w:val="40"/>
        </w:rPr>
        <w:t xml:space="preserve">TIGR </w:t>
      </w:r>
      <w:r>
        <w:rPr>
          <w:rFonts w:ascii="Calibri"/>
          <w:b/>
          <w:spacing w:val="-2"/>
          <w:sz w:val="40"/>
        </w:rPr>
        <w:t>Patient</w:t>
      </w:r>
      <w:r>
        <w:rPr>
          <w:rFonts w:ascii="Calibri"/>
          <w:b/>
          <w:spacing w:val="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Education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System</w:t>
      </w:r>
      <w:r>
        <w:rPr>
          <w:rFonts w:ascii="Calibri"/>
          <w:b/>
          <w:spacing w:val="2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STAFF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JOB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AID</w:t>
      </w:r>
    </w:p>
    <w:p w:rsidR="008C1ABD" w:rsidRDefault="008C1ABD" w:rsidP="008C1ABD">
      <w:pPr>
        <w:spacing w:before="193"/>
        <w:ind w:left="280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D6334"/>
          <w:spacing w:val="-1"/>
          <w:sz w:val="44"/>
          <w:szCs w:val="44"/>
        </w:rPr>
        <w:t>Introducing</w:t>
      </w:r>
      <w:r>
        <w:rPr>
          <w:rFonts w:ascii="Calibri" w:eastAsia="Calibri" w:hAnsi="Calibri" w:cs="Calibri"/>
          <w:b/>
          <w:bCs/>
          <w:color w:val="0D6334"/>
          <w:spacing w:val="-2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D6334"/>
          <w:sz w:val="44"/>
          <w:szCs w:val="44"/>
        </w:rPr>
        <w:t>Telehealth StaffConnect….</w:t>
      </w:r>
    </w:p>
    <w:p w:rsidR="008C1ABD" w:rsidRDefault="008C1ABD" w:rsidP="008C1ABD">
      <w:pPr>
        <w:pStyle w:val="Heading1"/>
        <w:spacing w:before="1"/>
        <w:ind w:left="280"/>
        <w:rPr>
          <w:b w:val="0"/>
          <w:bCs w:val="0"/>
        </w:rPr>
      </w:pPr>
      <w:r>
        <w:rPr>
          <w:spacing w:val="-1"/>
        </w:rPr>
        <w:t>StaffConnect</w:t>
      </w:r>
      <w:r>
        <w:rPr>
          <w:spacing w:val="1"/>
        </w:rPr>
        <w:t xml:space="preserve"> </w:t>
      </w:r>
      <w:r>
        <w:rPr>
          <w:spacing w:val="-1"/>
        </w:rPr>
        <w:t>Features:</w:t>
      </w:r>
    </w:p>
    <w:p w:rsidR="008C1ABD" w:rsidRDefault="008C1ABD" w:rsidP="008C1ABD">
      <w:pPr>
        <w:pStyle w:val="Heading2"/>
        <w:numPr>
          <w:ilvl w:val="0"/>
          <w:numId w:val="1"/>
        </w:numPr>
        <w:tabs>
          <w:tab w:val="left" w:pos="1001"/>
        </w:tabs>
        <w:rPr>
          <w:rFonts w:cs="Calibri"/>
        </w:rPr>
      </w:pPr>
      <w:r>
        <w:rPr>
          <w:rFonts w:ascii="Arial" w:eastAsia="Arial" w:hAnsi="Arial" w:cs="Arial"/>
          <w:b/>
          <w:bCs/>
          <w:sz w:val="22"/>
          <w:szCs w:val="22"/>
        </w:rPr>
        <w:t>“</w:t>
      </w:r>
      <w:r>
        <w:t>My</w:t>
      </w:r>
      <w:r>
        <w:rPr>
          <w:spacing w:val="-1"/>
        </w:rPr>
        <w:t xml:space="preserve"> To-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 List”</w:t>
      </w:r>
      <w:r>
        <w:rPr>
          <w:rFonts w:cs="Calibri"/>
          <w:spacing w:val="-1"/>
        </w:rPr>
        <w:t xml:space="preserve"> for prescribed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patient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specific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plan</w:t>
      </w:r>
    </w:p>
    <w:p w:rsidR="008C1ABD" w:rsidRDefault="008C1ABD" w:rsidP="008C1ABD">
      <w:pPr>
        <w:numPr>
          <w:ilvl w:val="0"/>
          <w:numId w:val="1"/>
        </w:numPr>
        <w:tabs>
          <w:tab w:val="left" w:pos="1001"/>
        </w:tabs>
        <w:spacing w:before="1" w:line="356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Bypass 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phone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order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and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assign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videos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from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the </w:t>
      </w:r>
      <w:r>
        <w:rPr>
          <w:rFonts w:ascii="Calibri" w:eastAsia="Calibri" w:hAnsi="Calibri" w:cs="Calibri"/>
          <w:spacing w:val="-1"/>
          <w:sz w:val="28"/>
          <w:szCs w:val="28"/>
        </w:rPr>
        <w:t>desktop or WOW</w:t>
      </w:r>
    </w:p>
    <w:p w:rsidR="008C1ABD" w:rsidRDefault="008C1ABD" w:rsidP="008C1ABD">
      <w:pPr>
        <w:numPr>
          <w:ilvl w:val="0"/>
          <w:numId w:val="1"/>
        </w:numPr>
        <w:tabs>
          <w:tab w:val="left" w:pos="1001"/>
        </w:tabs>
        <w:spacing w:line="356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Monitor 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patient’s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progress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prioritize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teach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back efforts</w:t>
      </w: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5196"/>
        <w:gridCol w:w="6522"/>
      </w:tblGrid>
      <w:tr w:rsidR="008C1ABD" w:rsidTr="008C1ABD">
        <w:tc>
          <w:tcPr>
            <w:tcW w:w="5058" w:type="dxa"/>
          </w:tcPr>
          <w:p w:rsidR="008C1ABD" w:rsidRPr="00C119A2" w:rsidRDefault="008C1ABD" w:rsidP="008C1ABD">
            <w:pPr>
              <w:rPr>
                <w:b/>
                <w:sz w:val="28"/>
                <w:szCs w:val="28"/>
              </w:rPr>
            </w:pPr>
            <w:r w:rsidRPr="00C119A2">
              <w:rPr>
                <w:b/>
                <w:sz w:val="28"/>
                <w:szCs w:val="28"/>
              </w:rPr>
              <w:t>Step 1: Log in and open the Nurse Unit Dashboard</w:t>
            </w:r>
          </w:p>
          <w:p w:rsidR="008C1ABD" w:rsidRPr="00FE0081" w:rsidRDefault="008C1ABD" w:rsidP="008C1ABD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FE0081">
              <w:t>From the Cooper Pulse page: click on Clinical Links and select Telehealth StaffConnect.</w:t>
            </w:r>
          </w:p>
          <w:p w:rsidR="008C1ABD" w:rsidRPr="00FE0081" w:rsidRDefault="008C1ABD" w:rsidP="008C1ABD">
            <w:pPr>
              <w:pStyle w:val="TableParagraph"/>
              <w:numPr>
                <w:ilvl w:val="0"/>
                <w:numId w:val="2"/>
              </w:numPr>
              <w:spacing w:before="160"/>
              <w:rPr>
                <w:rFonts w:ascii="Calibri"/>
                <w:spacing w:val="7"/>
              </w:rPr>
            </w:pPr>
            <w:r w:rsidRPr="00FE0081">
              <w:rPr>
                <w:rFonts w:ascii="Calibri"/>
              </w:rPr>
              <w:t xml:space="preserve">Log into Telehealth </w:t>
            </w:r>
            <w:r w:rsidRPr="00FE0081">
              <w:rPr>
                <w:rFonts w:ascii="Calibri"/>
                <w:spacing w:val="7"/>
              </w:rPr>
              <w:t xml:space="preserve"> </w:t>
            </w:r>
          </w:p>
          <w:p w:rsidR="008C1ABD" w:rsidRDefault="008C1ABD"/>
        </w:tc>
        <w:tc>
          <w:tcPr>
            <w:tcW w:w="6660" w:type="dxa"/>
          </w:tcPr>
          <w:p w:rsidR="008C1ABD" w:rsidRPr="00FE0081" w:rsidRDefault="008C1ABD" w:rsidP="008C1ABD">
            <w:pPr>
              <w:pStyle w:val="TableParagraph"/>
              <w:numPr>
                <w:ilvl w:val="0"/>
                <w:numId w:val="2"/>
              </w:numPr>
              <w:spacing w:before="16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4068A97" wp14:editId="49FFA370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402590</wp:posOffset>
                  </wp:positionV>
                  <wp:extent cx="1306830" cy="621665"/>
                  <wp:effectExtent l="0" t="0" r="7620" b="6985"/>
                  <wp:wrapTight wrapText="bothSides">
                    <wp:wrapPolygon edited="0">
                      <wp:start x="0" y="0"/>
                      <wp:lineTo x="0" y="21181"/>
                      <wp:lineTo x="21411" y="21181"/>
                      <wp:lineTo x="214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spacing w:val="-1"/>
              </w:rPr>
              <w:t xml:space="preserve">Click on the </w:t>
            </w:r>
            <w:r w:rsidRPr="00FE0081">
              <w:rPr>
                <w:rFonts w:ascii="Calibri"/>
                <w:b/>
                <w:spacing w:val="-1"/>
              </w:rPr>
              <w:t>Nurse</w:t>
            </w:r>
            <w:r w:rsidRPr="00FE0081">
              <w:rPr>
                <w:rFonts w:ascii="Calibri"/>
                <w:b/>
                <w:spacing w:val="-3"/>
              </w:rPr>
              <w:t xml:space="preserve"> </w:t>
            </w:r>
            <w:r w:rsidRPr="00FE0081"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spacing w:val="-1"/>
              </w:rPr>
              <w:t xml:space="preserve"> icon as shown in the screen shot to the left.</w:t>
            </w:r>
          </w:p>
          <w:p w:rsidR="008C1ABD" w:rsidRDefault="008C1ABD" w:rsidP="008C1ABD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C1ABD" w:rsidRDefault="008C1ABD" w:rsidP="008C1ABD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C1ABD" w:rsidRDefault="008C1ABD" w:rsidP="008C1ABD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C1ABD" w:rsidRDefault="008C1ABD" w:rsidP="008C1ABD"/>
          <w:p w:rsidR="008C1ABD" w:rsidRDefault="008C1ABD" w:rsidP="008C1ABD">
            <w:r w:rsidRPr="00FE0081">
              <w:rPr>
                <w:rFonts w:ascii="Calibri"/>
                <w:b/>
                <w:spacing w:val="-1"/>
              </w:rPr>
              <w:t>Note</w:t>
            </w:r>
            <w:r w:rsidRPr="00FE0081">
              <w:rPr>
                <w:rFonts w:ascii="Calibri"/>
                <w:spacing w:val="-1"/>
              </w:rPr>
              <w:t>:</w:t>
            </w:r>
            <w:r w:rsidRPr="00FE0081">
              <w:rPr>
                <w:rFonts w:ascii="Calibri"/>
                <w:spacing w:val="49"/>
              </w:rPr>
              <w:t xml:space="preserve"> </w:t>
            </w:r>
            <w:r w:rsidRPr="00FE0081">
              <w:rPr>
                <w:rFonts w:ascii="Calibri"/>
                <w:spacing w:val="-1"/>
              </w:rPr>
              <w:t>StaffConnect</w:t>
            </w:r>
            <w:r w:rsidRPr="00FE0081">
              <w:rPr>
                <w:rFonts w:ascii="Calibri"/>
                <w:spacing w:val="-4"/>
              </w:rPr>
              <w:t xml:space="preserve"> </w:t>
            </w:r>
            <w:r w:rsidRPr="00FE0081">
              <w:rPr>
                <w:rFonts w:ascii="Calibri"/>
              </w:rPr>
              <w:t>is</w:t>
            </w:r>
            <w:r w:rsidRPr="00FE0081">
              <w:rPr>
                <w:rFonts w:ascii="Calibri"/>
                <w:spacing w:val="-2"/>
              </w:rPr>
              <w:t xml:space="preserve"> </w:t>
            </w:r>
            <w:r w:rsidRPr="00FE0081">
              <w:rPr>
                <w:rFonts w:ascii="Calibri"/>
                <w:spacing w:val="-1"/>
              </w:rPr>
              <w:t>available</w:t>
            </w:r>
            <w:r w:rsidRPr="00FE0081">
              <w:rPr>
                <w:rFonts w:ascii="Calibri"/>
                <w:spacing w:val="-3"/>
              </w:rPr>
              <w:t xml:space="preserve"> </w:t>
            </w:r>
            <w:r w:rsidRPr="00FE0081">
              <w:rPr>
                <w:rFonts w:ascii="Calibri"/>
              </w:rPr>
              <w:t>from</w:t>
            </w:r>
            <w:r w:rsidRPr="00FE0081">
              <w:rPr>
                <w:rFonts w:ascii="Calibri"/>
                <w:spacing w:val="-5"/>
              </w:rPr>
              <w:t xml:space="preserve"> </w:t>
            </w:r>
            <w:r w:rsidRPr="00FE0081">
              <w:rPr>
                <w:rFonts w:ascii="Calibri"/>
              </w:rPr>
              <w:t>any</w:t>
            </w:r>
            <w:r w:rsidRPr="00FE0081">
              <w:rPr>
                <w:rFonts w:ascii="Calibri"/>
                <w:spacing w:val="-5"/>
              </w:rPr>
              <w:t xml:space="preserve"> Cooper Workstation or WOW</w:t>
            </w:r>
          </w:p>
        </w:tc>
      </w:tr>
      <w:tr w:rsidR="008C1ABD" w:rsidTr="008C1ABD">
        <w:tc>
          <w:tcPr>
            <w:tcW w:w="5058" w:type="dxa"/>
          </w:tcPr>
          <w:p w:rsidR="008C1ABD" w:rsidRDefault="008C1ABD" w:rsidP="00BA3541">
            <w:pPr>
              <w:rPr>
                <w:b/>
                <w:sz w:val="28"/>
                <w:szCs w:val="28"/>
              </w:rPr>
            </w:pPr>
            <w:r w:rsidRPr="00C119A2">
              <w:rPr>
                <w:b/>
                <w:sz w:val="28"/>
                <w:szCs w:val="28"/>
              </w:rPr>
              <w:t xml:space="preserve">Step2: </w:t>
            </w:r>
            <w:r>
              <w:rPr>
                <w:b/>
                <w:sz w:val="28"/>
                <w:szCs w:val="28"/>
              </w:rPr>
              <w:t xml:space="preserve">Locate the patient 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3"/>
              </w:numPr>
            </w:pPr>
            <w:r>
              <w:t>Select your unit from the dropdown box</w:t>
            </w:r>
          </w:p>
          <w:p w:rsidR="008C1ABD" w:rsidRPr="00C119A2" w:rsidRDefault="008C1ABD" w:rsidP="00BA3541"/>
          <w:p w:rsidR="008C1ABD" w:rsidRDefault="008C1ABD" w:rsidP="00BA3541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19D03B" wp14:editId="09563609">
                  <wp:extent cx="2701961" cy="855785"/>
                  <wp:effectExtent l="0" t="0" r="3175" b="1905"/>
                  <wp:docPr id="2" name="Picture 2" descr="C:\Users\VINER-~1\AppData\Local\Temp\SNAGHTML11ed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ER-~1\AppData\Local\Temp\SNAGHTML11ed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71" cy="85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ABD" w:rsidRDefault="008C1ABD" w:rsidP="00BA3541"/>
        </w:tc>
        <w:tc>
          <w:tcPr>
            <w:tcW w:w="6660" w:type="dxa"/>
          </w:tcPr>
          <w:p w:rsidR="008C1ABD" w:rsidRDefault="008C1ABD" w:rsidP="008C1ABD">
            <w:pPr>
              <w:pStyle w:val="ListParagraph"/>
              <w:numPr>
                <w:ilvl w:val="0"/>
                <w:numId w:val="3"/>
              </w:numPr>
            </w:pPr>
            <w:r>
              <w:t xml:space="preserve">Locate your patient on the unit list 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3"/>
              </w:numPr>
            </w:pPr>
            <w:r>
              <w:t>Click on the blue button in the Actions column</w:t>
            </w:r>
          </w:p>
          <w:p w:rsidR="0075237D" w:rsidRDefault="0075237D" w:rsidP="008C1ABD">
            <w:pPr>
              <w:pStyle w:val="ListParagraph"/>
              <w:numPr>
                <w:ilvl w:val="0"/>
                <w:numId w:val="3"/>
              </w:numPr>
            </w:pPr>
            <w:r>
              <w:t>Select View Education Plan</w:t>
            </w:r>
          </w:p>
          <w:p w:rsidR="008C1ABD" w:rsidRDefault="008C1ABD" w:rsidP="0075237D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27804AA" wp14:editId="4157BD2F">
                  <wp:extent cx="3602646" cy="773723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252" cy="77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BD" w:rsidTr="008C1ABD">
        <w:tc>
          <w:tcPr>
            <w:tcW w:w="5058" w:type="dxa"/>
          </w:tcPr>
          <w:p w:rsidR="008C1ABD" w:rsidRPr="00C119A2" w:rsidRDefault="008C1ABD" w:rsidP="00BA3541">
            <w:pPr>
              <w:rPr>
                <w:b/>
                <w:sz w:val="28"/>
                <w:szCs w:val="28"/>
              </w:rPr>
            </w:pPr>
            <w:r w:rsidRPr="00C119A2">
              <w:rPr>
                <w:b/>
                <w:sz w:val="28"/>
                <w:szCs w:val="28"/>
              </w:rPr>
              <w:t>Step 3: View/Assign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19A2">
              <w:rPr>
                <w:b/>
                <w:sz w:val="28"/>
                <w:szCs w:val="28"/>
              </w:rPr>
              <w:t>Education</w:t>
            </w:r>
          </w:p>
          <w:p w:rsidR="008C1ABD" w:rsidRDefault="008C1ABD" w:rsidP="00BA3541"/>
          <w:p w:rsidR="008C1ABD" w:rsidRDefault="008C1ABD" w:rsidP="00BA3541"/>
          <w:p w:rsidR="008C1ABD" w:rsidRDefault="008C1ABD" w:rsidP="00BA3541"/>
          <w:p w:rsidR="008C1ABD" w:rsidRDefault="008C1ABD" w:rsidP="00BA3541"/>
          <w:p w:rsidR="008C1ABD" w:rsidRDefault="008C1ABD" w:rsidP="00BA3541"/>
          <w:p w:rsidR="008C1ABD" w:rsidRDefault="008C1ABD" w:rsidP="00BA3541"/>
        </w:tc>
        <w:tc>
          <w:tcPr>
            <w:tcW w:w="6660" w:type="dxa"/>
          </w:tcPr>
          <w:p w:rsidR="008C1ABD" w:rsidRDefault="008C1ABD" w:rsidP="008C1ABD">
            <w:pPr>
              <w:pStyle w:val="ListParagraph"/>
              <w:numPr>
                <w:ilvl w:val="0"/>
                <w:numId w:val="4"/>
              </w:numPr>
            </w:pPr>
            <w:r>
              <w:t xml:space="preserve">Click Assign New Items 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4"/>
              </w:numPr>
            </w:pPr>
            <w:r>
              <w:t>Click Assign Videos</w:t>
            </w:r>
          </w:p>
          <w:p w:rsidR="008C1ABD" w:rsidRPr="00FE0081" w:rsidRDefault="008C1ABD" w:rsidP="00BA3541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DFE7074" wp14:editId="252CFEDD">
                  <wp:extent cx="1776046" cy="8436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755" cy="84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BD" w:rsidTr="008C1ABD">
        <w:tc>
          <w:tcPr>
            <w:tcW w:w="5058" w:type="dxa"/>
          </w:tcPr>
          <w:p w:rsidR="008C1ABD" w:rsidRDefault="008C1ABD" w:rsidP="00BA3541">
            <w:pPr>
              <w:rPr>
                <w:b/>
                <w:sz w:val="28"/>
                <w:szCs w:val="28"/>
              </w:rPr>
            </w:pPr>
            <w:r w:rsidRPr="00C56837">
              <w:rPr>
                <w:b/>
                <w:sz w:val="28"/>
                <w:szCs w:val="28"/>
              </w:rPr>
              <w:t>Step 4: Locate and Assign Videos</w:t>
            </w:r>
          </w:p>
          <w:p w:rsidR="008C1ABD" w:rsidRDefault="008C1ABD" w:rsidP="00BA3541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7AB971" wp14:editId="04290FF4">
                  <wp:extent cx="2625970" cy="1789586"/>
                  <wp:effectExtent l="0" t="0" r="3175" b="1270"/>
                  <wp:docPr id="15" name="Picture 15" descr="C:\Users\VINER-~1\AppData\Local\Temp\SNAGHTML140dc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NER-~1\AppData\Local\Temp\SNAGHTML140dc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42" cy="178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ABD" w:rsidRPr="00C56837" w:rsidRDefault="008C1ABD" w:rsidP="00BA3541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8C1ABD" w:rsidRDefault="008C1ABD" w:rsidP="008C1ABD">
            <w:pPr>
              <w:pStyle w:val="ListParagraph"/>
              <w:numPr>
                <w:ilvl w:val="0"/>
                <w:numId w:val="5"/>
              </w:numPr>
            </w:pPr>
            <w:r>
              <w:t>Use the Category option: Click on the drop down arrow and see the list of available video categories such as Cardiovascular, Diabetes, and Orthopedics etc.</w:t>
            </w:r>
          </w:p>
          <w:p w:rsidR="008C1ABD" w:rsidRPr="004269BA" w:rsidRDefault="008C1ABD" w:rsidP="00BA3541">
            <w:pPr>
              <w:pStyle w:val="ListParagraph"/>
              <w:ind w:left="720"/>
              <w:rPr>
                <w:b/>
              </w:rPr>
            </w:pPr>
            <w:r w:rsidRPr="004269BA">
              <w:rPr>
                <w:b/>
              </w:rPr>
              <w:t>OR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5"/>
              </w:numPr>
            </w:pPr>
            <w:r>
              <w:t>Use the Search field to type in the first few letters of the video topic and then click the magnifying glass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5"/>
              </w:numPr>
            </w:pPr>
            <w:r>
              <w:t>To assign a video click the plus sign. Once assigned the icon becomes a minus sign.  ----Click the minus sign to remove if assigned in error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5"/>
              </w:numPr>
            </w:pPr>
            <w:r>
              <w:t>Click the “Next” button to confirm the assignment. The system will present a list of assigned videos; click Next again to accept the assignment.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5"/>
              </w:numPr>
            </w:pPr>
            <w:r>
              <w:t xml:space="preserve">The selected videos will now appear on the patient’s My To-Do List. </w:t>
            </w:r>
          </w:p>
          <w:p w:rsidR="008C1ABD" w:rsidRDefault="008C1ABD" w:rsidP="00BA3541"/>
          <w:p w:rsidR="008C1ABD" w:rsidRDefault="008C1ABD" w:rsidP="00BA3541"/>
        </w:tc>
      </w:tr>
      <w:tr w:rsidR="008C1ABD" w:rsidTr="008C1ABD">
        <w:tc>
          <w:tcPr>
            <w:tcW w:w="5058" w:type="dxa"/>
          </w:tcPr>
          <w:p w:rsidR="008C1ABD" w:rsidRPr="00024879" w:rsidRDefault="008C1ABD" w:rsidP="00BA3541">
            <w:pPr>
              <w:rPr>
                <w:b/>
                <w:sz w:val="28"/>
                <w:szCs w:val="28"/>
              </w:rPr>
            </w:pPr>
            <w:r w:rsidRPr="00024879">
              <w:rPr>
                <w:b/>
                <w:sz w:val="28"/>
                <w:szCs w:val="28"/>
              </w:rPr>
              <w:lastRenderedPageBreak/>
              <w:t>Step 5: Play/Start a video for the patient directly on their Television</w:t>
            </w:r>
          </w:p>
          <w:p w:rsidR="008C1ABD" w:rsidRDefault="008C1ABD" w:rsidP="00BA3541"/>
          <w:p w:rsidR="008C1ABD" w:rsidRDefault="008C1ABD" w:rsidP="00BA3541">
            <w:r>
              <w:rPr>
                <w:noProof/>
              </w:rPr>
              <w:drawing>
                <wp:inline distT="0" distB="0" distL="0" distR="0" wp14:anchorId="67BEAB41" wp14:editId="18BCC092">
                  <wp:extent cx="2429606" cy="1575960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551" cy="157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ABD" w:rsidRDefault="008C1ABD" w:rsidP="00BA3541"/>
        </w:tc>
        <w:tc>
          <w:tcPr>
            <w:tcW w:w="6660" w:type="dxa"/>
          </w:tcPr>
          <w:p w:rsidR="008C1ABD" w:rsidRDefault="008C1ABD" w:rsidP="008C1ABD">
            <w:pPr>
              <w:pStyle w:val="ListParagraph"/>
              <w:numPr>
                <w:ilvl w:val="0"/>
                <w:numId w:val="6"/>
              </w:numPr>
            </w:pPr>
            <w:r>
              <w:t xml:space="preserve">Click Action </w:t>
            </w:r>
            <w:r w:rsidR="009705AE">
              <w:t>and select P</w:t>
            </w:r>
            <w:r>
              <w:t xml:space="preserve">lay </w:t>
            </w:r>
            <w:r w:rsidR="009705AE">
              <w:t>V</w:t>
            </w:r>
            <w:r>
              <w:t>ideo on TV</w:t>
            </w:r>
          </w:p>
          <w:p w:rsidR="008C1ABD" w:rsidRDefault="00E47EF8" w:rsidP="008C1ABD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FDF9845" wp14:editId="5FE150ED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232410</wp:posOffset>
                  </wp:positionV>
                  <wp:extent cx="203644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418" y="20903"/>
                      <wp:lineTo x="214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44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5AE">
              <w:t>The a</w:t>
            </w:r>
            <w:r w:rsidR="008C1ABD">
              <w:t>ssigned TV Channel is displayed</w:t>
            </w:r>
            <w:r w:rsidR="009705AE">
              <w:t>. (channels 7</w:t>
            </w:r>
            <w:r w:rsidR="005B7F94">
              <w:t>3-83 are used for video viewing</w:t>
            </w:r>
          </w:p>
          <w:p w:rsidR="008C1ABD" w:rsidRDefault="008C1ABD" w:rsidP="00BA3541"/>
          <w:p w:rsidR="008C1ABD" w:rsidRDefault="008C1ABD" w:rsidP="00BA3541"/>
          <w:p w:rsidR="005B7F94" w:rsidRDefault="005B7F94" w:rsidP="00BA3541"/>
          <w:p w:rsidR="005B7F94" w:rsidRDefault="005B7F94" w:rsidP="00BA3541"/>
          <w:p w:rsidR="00E47EF8" w:rsidRDefault="00E47EF8" w:rsidP="00BA3541"/>
          <w:p w:rsidR="008C1ABD" w:rsidRDefault="008C1ABD" w:rsidP="008C1ABD">
            <w:pPr>
              <w:pStyle w:val="ListParagraph"/>
              <w:numPr>
                <w:ilvl w:val="0"/>
                <w:numId w:val="6"/>
              </w:numPr>
            </w:pPr>
            <w:r>
              <w:t>Turn the patient TV on and tune to the channel number provided</w:t>
            </w:r>
          </w:p>
          <w:p w:rsidR="008C1ABD" w:rsidRDefault="008C1ABD" w:rsidP="008C1ABD">
            <w:pPr>
              <w:pStyle w:val="ListParagraph"/>
              <w:numPr>
                <w:ilvl w:val="0"/>
                <w:numId w:val="6"/>
              </w:numPr>
            </w:pPr>
            <w:r>
              <w:t>The video will begin in approximately 90 seconds</w:t>
            </w:r>
          </w:p>
          <w:p w:rsidR="008C1ABD" w:rsidRDefault="008C1ABD" w:rsidP="00BA3541">
            <w:pPr>
              <w:pStyle w:val="ListParagraph"/>
              <w:ind w:left="456"/>
            </w:pPr>
          </w:p>
          <w:p w:rsidR="008C1ABD" w:rsidRDefault="008C1ABD" w:rsidP="00BA3541">
            <w:pPr>
              <w:pStyle w:val="ListParagraph"/>
              <w:ind w:left="456"/>
            </w:pPr>
          </w:p>
          <w:p w:rsidR="008C1ABD" w:rsidRPr="009A7A39" w:rsidRDefault="008C1ABD" w:rsidP="00BA3541">
            <w:r w:rsidRPr="009A7A39">
              <w:rPr>
                <w:b/>
                <w:sz w:val="24"/>
                <w:szCs w:val="24"/>
              </w:rPr>
              <w:t>Note:</w:t>
            </w:r>
            <w:r w:rsidRPr="009A7A39">
              <w:t xml:space="preserve"> If starting the video at a time other than the initial assignment follow these steps: different encounter with the patient open telehealth&gt; find the patient &gt;click the action button&gt;Click View Education plan</w:t>
            </w:r>
            <w:r w:rsidR="00E47EF8">
              <w:t>&gt;c</w:t>
            </w:r>
            <w:r w:rsidR="009705AE">
              <w:t>lick blue button&gt;</w:t>
            </w:r>
            <w:r w:rsidR="00E47EF8">
              <w:t xml:space="preserve"> Click Play English on TV or when available and applicable Play Spanish on TV&gt; have the patient tune to the assigned channel</w:t>
            </w:r>
            <w:r w:rsidRPr="009A7A39">
              <w:t>)</w:t>
            </w:r>
            <w:r w:rsidR="00E47EF8">
              <w:t xml:space="preserve"> </w:t>
            </w:r>
          </w:p>
        </w:tc>
      </w:tr>
      <w:tr w:rsidR="008C1ABD" w:rsidTr="008C1ABD">
        <w:tc>
          <w:tcPr>
            <w:tcW w:w="5058" w:type="dxa"/>
          </w:tcPr>
          <w:p w:rsidR="008C1ABD" w:rsidRPr="008C1ABD" w:rsidRDefault="008C1ABD" w:rsidP="008C1ABD">
            <w:pPr>
              <w:rPr>
                <w:b/>
                <w:sz w:val="28"/>
                <w:szCs w:val="28"/>
              </w:rPr>
            </w:pPr>
            <w:r w:rsidRPr="008C1ABD">
              <w:rPr>
                <w:b/>
                <w:sz w:val="28"/>
                <w:szCs w:val="28"/>
              </w:rPr>
              <w:t xml:space="preserve">Step 6: Demonstrate how to initiate a video themselves to the Patient </w:t>
            </w:r>
          </w:p>
          <w:p w:rsidR="008C1ABD" w:rsidRDefault="008C1ABD">
            <w:r>
              <w:rPr>
                <w:noProof/>
              </w:rPr>
              <w:drawing>
                <wp:inline distT="0" distB="0" distL="0" distR="0" wp14:anchorId="051ABA9E" wp14:editId="6D75F186">
                  <wp:extent cx="3162574" cy="2049958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574" cy="204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DA5AB0" w:rsidRDefault="00DA5AB0" w:rsidP="00DA5AB0">
            <w:pPr>
              <w:pStyle w:val="ListParagraph"/>
              <w:ind w:left="720"/>
            </w:pPr>
          </w:p>
          <w:p w:rsidR="008C1ABD" w:rsidRDefault="008C1ABD" w:rsidP="008C1ABD">
            <w:pPr>
              <w:pStyle w:val="ListParagraph"/>
              <w:numPr>
                <w:ilvl w:val="0"/>
                <w:numId w:val="7"/>
              </w:numPr>
            </w:pPr>
            <w:r>
              <w:t>Advise the patient on their video education plan and how they can initiate watching a video by following these steps:</w:t>
            </w:r>
          </w:p>
          <w:p w:rsidR="008C1ABD" w:rsidRDefault="008C1ABD" w:rsidP="008C1ABD">
            <w:pPr>
              <w:pStyle w:val="ListParagraph"/>
              <w:ind w:left="720"/>
            </w:pPr>
          </w:p>
          <w:p w:rsidR="008C1ABD" w:rsidRPr="001677EB" w:rsidRDefault="008C1ABD" w:rsidP="008C1ABD">
            <w:pPr>
              <w:pStyle w:val="ListParagraph"/>
              <w:numPr>
                <w:ilvl w:val="0"/>
                <w:numId w:val="8"/>
              </w:numPr>
            </w:pPr>
            <w:r>
              <w:rPr>
                <w:spacing w:val="-1"/>
              </w:rPr>
              <w:t>Dial 1005981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bedside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phone</w:t>
            </w:r>
          </w:p>
          <w:p w:rsidR="008C1ABD" w:rsidRPr="001677EB" w:rsidRDefault="008C1ABD" w:rsidP="008C1AB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Calibri"/>
                <w:spacing w:val="-1"/>
              </w:rPr>
              <w:t>Select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“1” </w:t>
            </w:r>
            <w:r>
              <w:rPr>
                <w:rFonts w:cs="Calibri"/>
              </w:rPr>
              <w:t>for</w:t>
            </w:r>
            <w:r>
              <w:rPr>
                <w:rFonts w:cs="Calibri"/>
                <w:spacing w:val="-1"/>
              </w:rPr>
              <w:t xml:space="preserve"> English,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“2”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for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Spanish</w:t>
            </w:r>
          </w:p>
          <w:p w:rsidR="008C1ABD" w:rsidRPr="001677EB" w:rsidRDefault="008C1ABD" w:rsidP="008C1AB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Calibri"/>
                <w:spacing w:val="-1"/>
              </w:rPr>
              <w:t>Select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“2”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view </w:t>
            </w:r>
            <w:r>
              <w:rPr>
                <w:rFonts w:cs="Calibri"/>
              </w:rPr>
              <w:t>menus &amp;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their </w:t>
            </w:r>
            <w:r>
              <w:rPr>
                <w:rFonts w:cs="Calibri"/>
              </w:rPr>
              <w:t>“My To</w:t>
            </w:r>
            <w:r>
              <w:t>-</w:t>
            </w:r>
            <w:r>
              <w:rPr>
                <w:rFonts w:cs="Calibri"/>
              </w:rPr>
              <w:t>Do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List”</w:t>
            </w:r>
          </w:p>
          <w:p w:rsidR="008C1ABD" w:rsidRPr="001677EB" w:rsidRDefault="008C1ABD" w:rsidP="008C1AB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Calibri"/>
                <w:spacing w:val="-1"/>
              </w:rPr>
              <w:t>Tune</w:t>
            </w:r>
            <w:r>
              <w:rPr>
                <w:rFonts w:cs="Calibri"/>
                <w:spacing w:val="-2"/>
              </w:rPr>
              <w:t xml:space="preserve"> the </w:t>
            </w:r>
            <w:r>
              <w:rPr>
                <w:rFonts w:cs="Calibri"/>
              </w:rPr>
              <w:t>TV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as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directed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press</w:t>
            </w:r>
            <w:r>
              <w:rPr>
                <w:rFonts w:cs="Calibri"/>
              </w:rPr>
              <w:t xml:space="preserve"> “#”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for Menu</w:t>
            </w:r>
          </w:p>
          <w:p w:rsidR="008C1ABD" w:rsidRPr="001677EB" w:rsidRDefault="008C1ABD" w:rsidP="008C1AB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Calibri"/>
                <w:spacing w:val="-1"/>
              </w:rPr>
              <w:t>Select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“My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To</w:t>
            </w:r>
            <w:r>
              <w:rPr>
                <w:spacing w:val="-1"/>
              </w:rPr>
              <w:t>-</w:t>
            </w:r>
            <w:r>
              <w:rPr>
                <w:rFonts w:cs="Calibri"/>
                <w:spacing w:val="-1"/>
              </w:rPr>
              <w:t>Do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List”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view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their</w:t>
            </w:r>
            <w:r>
              <w:rPr>
                <w:rFonts w:cs="Calibri"/>
                <w:spacing w:val="-1"/>
              </w:rPr>
              <w:t xml:space="preserve"> video</w:t>
            </w:r>
          </w:p>
          <w:p w:rsidR="008C1ABD" w:rsidRDefault="008C1ABD" w:rsidP="008C1ABD"/>
          <w:p w:rsidR="008C1ABD" w:rsidRDefault="008C1ABD" w:rsidP="008C1ABD"/>
        </w:tc>
      </w:tr>
    </w:tbl>
    <w:p w:rsidR="00FC3813" w:rsidRDefault="00FC3813"/>
    <w:p w:rsidR="00373BF0" w:rsidRDefault="00373BF0"/>
    <w:p w:rsidR="00373BF0" w:rsidRDefault="00373BF0" w:rsidP="00373BF0">
      <w:r>
        <w:t xml:space="preserve">Note: Once a video has been watched, a check mark will appear for that video on the Patient My </w:t>
      </w:r>
      <w:proofErr w:type="gramStart"/>
      <w:r>
        <w:t>To</w:t>
      </w:r>
      <w:proofErr w:type="gramEnd"/>
      <w:r>
        <w:t xml:space="preserve"> Do list to help you and the patient know what they have already viewed. Progress can also be viewed by the nurse in Telehealth StaffConnect.</w:t>
      </w:r>
    </w:p>
    <w:p w:rsidR="00373BF0" w:rsidRDefault="00373BF0" w:rsidP="00373BF0">
      <w:r>
        <w:t>This allows the nurse to know when to talk to the patient about the educational videos they have viewed so that the education can be documented as a complete or needing re-enforcement in Epic.</w:t>
      </w:r>
    </w:p>
    <w:p w:rsidR="00373BF0" w:rsidRDefault="00373BF0">
      <w:bookmarkStart w:id="0" w:name="_GoBack"/>
      <w:bookmarkEnd w:id="0"/>
    </w:p>
    <w:sectPr w:rsidR="00373BF0" w:rsidSect="008C1ABD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F67"/>
    <w:multiLevelType w:val="hybridMultilevel"/>
    <w:tmpl w:val="7D3E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97A"/>
    <w:multiLevelType w:val="hybridMultilevel"/>
    <w:tmpl w:val="18DC0DE0"/>
    <w:lvl w:ilvl="0" w:tplc="C2189C06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8"/>
        <w:szCs w:val="28"/>
      </w:rPr>
    </w:lvl>
    <w:lvl w:ilvl="1" w:tplc="13925026">
      <w:start w:val="2"/>
      <w:numFmt w:val="decimal"/>
      <w:lvlText w:val="%2."/>
      <w:lvlJc w:val="left"/>
      <w:pPr>
        <w:ind w:left="5549" w:hanging="360"/>
        <w:jc w:val="right"/>
      </w:pPr>
      <w:rPr>
        <w:rFonts w:ascii="Calibri" w:eastAsia="Calibri" w:hAnsi="Calibri" w:hint="default"/>
        <w:sz w:val="24"/>
        <w:szCs w:val="24"/>
      </w:rPr>
    </w:lvl>
    <w:lvl w:ilvl="2" w:tplc="42CABAF2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3" w:tplc="4654858A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4" w:tplc="93140C1E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5" w:tplc="296A1E56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6" w:tplc="3A2054A2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  <w:lvl w:ilvl="7" w:tplc="5854F0F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  <w:lvl w:ilvl="8" w:tplc="ECE6CD88">
      <w:start w:val="1"/>
      <w:numFmt w:val="bullet"/>
      <w:lvlText w:val="•"/>
      <w:lvlJc w:val="left"/>
      <w:pPr>
        <w:ind w:left="9586" w:hanging="360"/>
      </w:pPr>
      <w:rPr>
        <w:rFonts w:hint="default"/>
      </w:rPr>
    </w:lvl>
  </w:abstractNum>
  <w:abstractNum w:abstractNumId="2">
    <w:nsid w:val="1C483A45"/>
    <w:multiLevelType w:val="hybridMultilevel"/>
    <w:tmpl w:val="AE14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054D"/>
    <w:multiLevelType w:val="hybridMultilevel"/>
    <w:tmpl w:val="7A96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73F8"/>
    <w:multiLevelType w:val="hybridMultilevel"/>
    <w:tmpl w:val="95E62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86AEF"/>
    <w:multiLevelType w:val="hybridMultilevel"/>
    <w:tmpl w:val="7F72CB5A"/>
    <w:lvl w:ilvl="0" w:tplc="3312998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776E18C1"/>
    <w:multiLevelType w:val="hybridMultilevel"/>
    <w:tmpl w:val="028859F4"/>
    <w:lvl w:ilvl="0" w:tplc="C44E58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7666"/>
    <w:multiLevelType w:val="hybridMultilevel"/>
    <w:tmpl w:val="B422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BD"/>
    <w:rsid w:val="00373BF0"/>
    <w:rsid w:val="005B7F94"/>
    <w:rsid w:val="0075237D"/>
    <w:rsid w:val="007C4708"/>
    <w:rsid w:val="008C1ABD"/>
    <w:rsid w:val="009705AE"/>
    <w:rsid w:val="00DA5AB0"/>
    <w:rsid w:val="00E47EF8"/>
    <w:rsid w:val="00EA31F5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AB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C1ABD"/>
    <w:pPr>
      <w:ind w:left="1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C1ABD"/>
    <w:pPr>
      <w:ind w:left="100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1ABD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C1ABD"/>
    <w:rPr>
      <w:rFonts w:ascii="Calibri" w:eastAsia="Calibri" w:hAnsi="Calibri"/>
      <w:sz w:val="28"/>
      <w:szCs w:val="28"/>
    </w:rPr>
  </w:style>
  <w:style w:type="table" w:styleId="TableGrid">
    <w:name w:val="Table Grid"/>
    <w:basedOn w:val="TableNormal"/>
    <w:uiPriority w:val="59"/>
    <w:rsid w:val="008C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ABD"/>
  </w:style>
  <w:style w:type="paragraph" w:customStyle="1" w:styleId="TableParagraph">
    <w:name w:val="Table Paragraph"/>
    <w:basedOn w:val="Normal"/>
    <w:uiPriority w:val="1"/>
    <w:qFormat/>
    <w:rsid w:val="008C1ABD"/>
  </w:style>
  <w:style w:type="paragraph" w:styleId="BalloonText">
    <w:name w:val="Balloon Text"/>
    <w:basedOn w:val="Normal"/>
    <w:link w:val="BalloonTextChar"/>
    <w:uiPriority w:val="99"/>
    <w:semiHidden/>
    <w:unhideWhenUsed/>
    <w:rsid w:val="008C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AB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C1ABD"/>
    <w:pPr>
      <w:ind w:left="1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C1ABD"/>
    <w:pPr>
      <w:ind w:left="100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1ABD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C1ABD"/>
    <w:rPr>
      <w:rFonts w:ascii="Calibri" w:eastAsia="Calibri" w:hAnsi="Calibri"/>
      <w:sz w:val="28"/>
      <w:szCs w:val="28"/>
    </w:rPr>
  </w:style>
  <w:style w:type="table" w:styleId="TableGrid">
    <w:name w:val="Table Grid"/>
    <w:basedOn w:val="TableNormal"/>
    <w:uiPriority w:val="59"/>
    <w:rsid w:val="008C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ABD"/>
  </w:style>
  <w:style w:type="paragraph" w:customStyle="1" w:styleId="TableParagraph">
    <w:name w:val="Table Paragraph"/>
    <w:basedOn w:val="Normal"/>
    <w:uiPriority w:val="1"/>
    <w:qFormat/>
    <w:rsid w:val="008C1ABD"/>
  </w:style>
  <w:style w:type="paragraph" w:styleId="BalloonText">
    <w:name w:val="Balloon Text"/>
    <w:basedOn w:val="Normal"/>
    <w:link w:val="BalloonTextChar"/>
    <w:uiPriority w:val="99"/>
    <w:semiHidden/>
    <w:unhideWhenUsed/>
    <w:rsid w:val="008C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Viner, Beth</dc:creator>
  <cp:lastModifiedBy>Viner, Beth</cp:lastModifiedBy>
  <cp:revision>6</cp:revision>
  <cp:lastPrinted>2018-04-03T20:13:00Z</cp:lastPrinted>
  <dcterms:created xsi:type="dcterms:W3CDTF">2018-04-03T20:23:00Z</dcterms:created>
  <dcterms:modified xsi:type="dcterms:W3CDTF">2018-04-03T21:40:00Z</dcterms:modified>
</cp:coreProperties>
</file>